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EDF" w:rsidRDefault="00BB0377" w:rsidP="00730039">
      <w:r>
        <w:rPr>
          <w:noProof/>
        </w:rPr>
        <w:pict>
          <v:shape id="_x0000_s1443" style="position:absolute;margin-left:478.25pt;margin-top:35.3pt;width:92.5pt;height:160pt;z-index:251831296;mso-position-horizontal-relative:page;mso-position-vertical-relative:page" coordsize="1376,3365" o:regroupid="26" path="m,l1376,r,3365l1363,3134r-12,-220l1338,2706r-13,-199l1310,2320r-15,-179l1277,1973r-17,-160l1240,1663r-22,-140l1195,1389r-26,-124l1142,1149r-30,-110l1080,937r-34,-95l1008,753,967,671,924,595,877,524,826,458,772,398,714,342,653,291,587,243,517,199,443,159,364,123,280,89,192,57,98,27,,xe" fillcolor="#7f7f7f [1612]" stroked="f" strokecolor="#6bb1c9 [3206]" strokeweight="1pt">
            <v:fill opacity="55706f" color2="fill lighten(51)" angle="-45" focusposition=".5,.5" focussize="" method="linear sigma" type="gradient"/>
            <v:shadow type="perspective" color="#295d70 [1606]" offset="1pt" offset2="-3pt"/>
            <v:path arrowok="t"/>
            <w10:wrap anchorx="page" anchory="page"/>
          </v:shape>
        </w:pict>
      </w:r>
      <w:r w:rsidRPr="00BB0377">
        <w:rPr>
          <w:rFonts w:cstheme="minorHAnsi"/>
          <w:noProof/>
        </w:rPr>
        <w:pict>
          <v:shape id="_x0000_s1668" style="position:absolute;margin-left:501.75pt;margin-top:35.3pt;width:69pt;height:124pt;z-index:251838464;mso-position-horizontal-relative:page;mso-position-vertical-relative:page" coordsize="1376,3365" path="m,l1376,r,3365l1363,3134r-12,-220l1338,2706r-13,-199l1310,2320r-15,-179l1277,1973r-17,-160l1240,1663r-22,-140l1195,1389r-26,-124l1142,1149r-30,-110l1080,937r-34,-95l1008,753,967,671,924,595,877,524,826,458,772,398,714,342,653,291,587,243,517,199,443,159,364,123,280,89,192,57,98,27,,xe" fillcolor="#0070c0" stroked="f" strokecolor="#6bb1c9 [3206]" strokeweight="1pt">
            <v:fill opacity="55706f" color2="fill lighten(51)" angle="-45" focusposition=".5,.5" focussize="" method="linear sigma" type="gradient"/>
            <v:shadow type="perspective" color="#295d70 [1606]" offset="1pt" offset2="-3pt"/>
            <v:path arrowok="t"/>
            <w10:wrap anchorx="page" anchory="page"/>
          </v:shape>
        </w:pict>
      </w:r>
      <w:r>
        <w:rPr>
          <w:noProof/>
        </w:rPr>
        <w:pict>
          <v:shapetype id="_x0000_t202" coordsize="21600,21600" o:spt="202" path="m,l,21600r21600,l21600,xe">
            <v:stroke joinstyle="miter"/>
            <v:path gradientshapeok="t" o:connecttype="rect"/>
          </v:shapetype>
          <v:shape id="_x0000_s1662" type="#_x0000_t202" style="position:absolute;margin-left:69.1pt;margin-top:35.3pt;width:237.65pt;height:75.7pt;z-index:251834368;mso-position-horizontal-relative:page;mso-position-vertical-relative:page" filled="f" stroked="f">
            <v:textbox style="mso-next-textbox:#_x0000_s1662" inset="0,0,0,0">
              <w:txbxContent>
                <w:sdt>
                  <w:sdtPr>
                    <w:id w:val="1325961"/>
                    <w:picture/>
                  </w:sdtPr>
                  <w:sdtContent>
                    <w:p w:rsidR="00BA5CFA" w:rsidRDefault="00B83263">
                      <w:r>
                        <w:rPr>
                          <w:noProof/>
                        </w:rPr>
                        <w:drawing>
                          <wp:inline distT="0" distB="0" distL="0" distR="0">
                            <wp:extent cx="2743200" cy="645514"/>
                            <wp:effectExtent l="19050" t="0" r="0" b="2186"/>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tretch>
                                      <a:fillRect/>
                                    </a:stretch>
                                  </pic:blipFill>
                                  <pic:spPr bwMode="auto">
                                    <a:xfrm>
                                      <a:off x="0" y="0"/>
                                      <a:ext cx="2743200" cy="645514"/>
                                    </a:xfrm>
                                    <a:prstGeom prst="rect">
                                      <a:avLst/>
                                    </a:prstGeom>
                                    <a:noFill/>
                                    <a:ln w="9525">
                                      <a:noFill/>
                                      <a:miter lim="800000"/>
                                      <a:headEnd/>
                                      <a:tailEnd/>
                                    </a:ln>
                                  </pic:spPr>
                                </pic:pic>
                              </a:graphicData>
                            </a:graphic>
                          </wp:inline>
                        </w:drawing>
                      </w:r>
                    </w:p>
                  </w:sdtContent>
                </w:sdt>
              </w:txbxContent>
            </v:textbox>
            <w10:wrap anchorx="page" anchory="page"/>
          </v:shape>
        </w:pict>
      </w:r>
    </w:p>
    <w:p w:rsidR="00B85EDF" w:rsidRPr="00B85EDF" w:rsidRDefault="00B85EDF" w:rsidP="00B85EDF"/>
    <w:p w:rsidR="00B85EDF" w:rsidRDefault="00B85EDF" w:rsidP="00B85EDF"/>
    <w:p w:rsidR="00F63764" w:rsidRDefault="00F63764" w:rsidP="00F63764">
      <w:pPr>
        <w:pStyle w:val="NoSpacing"/>
        <w:rPr>
          <w:rFonts w:cstheme="minorHAnsi"/>
        </w:rPr>
      </w:pPr>
    </w:p>
    <w:p w:rsidR="00A70DB4" w:rsidRPr="00A70DB4" w:rsidRDefault="00A70DB4" w:rsidP="00A70DB4">
      <w:pPr>
        <w:pStyle w:val="NoSpacing"/>
        <w:jc w:val="center"/>
        <w:rPr>
          <w:rFonts w:cstheme="minorHAnsi"/>
          <w:b/>
          <w:color w:val="808080" w:themeColor="background1" w:themeShade="80"/>
          <w:sz w:val="44"/>
          <w:szCs w:val="44"/>
        </w:rPr>
      </w:pPr>
      <w:r w:rsidRPr="00A70DB4">
        <w:rPr>
          <w:rFonts w:cstheme="minorHAnsi"/>
          <w:b/>
          <w:color w:val="808080" w:themeColor="background1" w:themeShade="80"/>
          <w:sz w:val="44"/>
          <w:szCs w:val="44"/>
        </w:rPr>
        <w:t>GUIDELINES TELECOMMUNICATION TARIFFS</w:t>
      </w:r>
    </w:p>
    <w:p w:rsidR="00A70DB4" w:rsidRPr="00A70DB4" w:rsidRDefault="00A70DB4" w:rsidP="00A70DB4">
      <w:pPr>
        <w:jc w:val="center"/>
        <w:rPr>
          <w:i/>
          <w:sz w:val="22"/>
          <w:szCs w:val="22"/>
        </w:rPr>
      </w:pPr>
      <w:r w:rsidRPr="00A70DB4">
        <w:rPr>
          <w:i/>
          <w:sz w:val="22"/>
          <w:szCs w:val="22"/>
        </w:rPr>
        <w:t>Guidelines on the use of the attachment to the Ministerial Decree on Teleco</w:t>
      </w:r>
      <w:r>
        <w:rPr>
          <w:i/>
          <w:sz w:val="22"/>
          <w:szCs w:val="22"/>
        </w:rPr>
        <w:t xml:space="preserve">mmunications Tariffs of: </w:t>
      </w:r>
      <w:r w:rsidRPr="00A70DB4">
        <w:rPr>
          <w:b/>
          <w:i/>
          <w:sz w:val="22"/>
          <w:szCs w:val="22"/>
        </w:rPr>
        <w:t>October 29</w:t>
      </w:r>
      <w:r w:rsidRPr="00A70DB4">
        <w:rPr>
          <w:b/>
          <w:i/>
          <w:sz w:val="22"/>
          <w:szCs w:val="22"/>
          <w:vertAlign w:val="superscript"/>
        </w:rPr>
        <w:t xml:space="preserve">th </w:t>
      </w:r>
      <w:r w:rsidRPr="00A70DB4">
        <w:rPr>
          <w:b/>
          <w:i/>
          <w:sz w:val="22"/>
          <w:szCs w:val="22"/>
        </w:rPr>
        <w:t>2013</w:t>
      </w:r>
      <w:r w:rsidRPr="00A70DB4">
        <w:rPr>
          <w:i/>
          <w:sz w:val="22"/>
          <w:szCs w:val="22"/>
        </w:rPr>
        <w:t>.</w:t>
      </w:r>
    </w:p>
    <w:p w:rsidR="00A70DB4" w:rsidRDefault="00A70DB4" w:rsidP="00A70DB4">
      <w:pPr>
        <w:rPr>
          <w:sz w:val="22"/>
          <w:szCs w:val="22"/>
        </w:rPr>
      </w:pPr>
    </w:p>
    <w:p w:rsidR="00A70DB4" w:rsidRDefault="00A70DB4" w:rsidP="00A70DB4">
      <w:pPr>
        <w:rPr>
          <w:sz w:val="22"/>
          <w:szCs w:val="22"/>
        </w:rPr>
      </w:pPr>
    </w:p>
    <w:p w:rsidR="00A70DB4" w:rsidRPr="00A70DB4" w:rsidRDefault="00A70DB4" w:rsidP="00A70DB4">
      <w:pPr>
        <w:jc w:val="both"/>
        <w:rPr>
          <w:sz w:val="24"/>
          <w:szCs w:val="24"/>
        </w:rPr>
      </w:pPr>
      <w:r w:rsidRPr="00A70DB4">
        <w:rPr>
          <w:sz w:val="24"/>
          <w:szCs w:val="24"/>
        </w:rPr>
        <w:t>The rate sheets are organized based on sectors, services or licensed resources and outline the different fees that are applicable based on any services, licenses or resources required for operations and service provisioning within each sector.</w:t>
      </w:r>
    </w:p>
    <w:p w:rsidR="00A70DB4" w:rsidRPr="00A70DB4" w:rsidRDefault="00A70DB4" w:rsidP="00A70DB4">
      <w:pPr>
        <w:jc w:val="both"/>
        <w:rPr>
          <w:sz w:val="24"/>
          <w:szCs w:val="24"/>
        </w:rPr>
      </w:pPr>
    </w:p>
    <w:p w:rsidR="00A70DB4" w:rsidRPr="00A70DB4" w:rsidRDefault="00A70DB4" w:rsidP="00A70DB4">
      <w:pPr>
        <w:jc w:val="both"/>
        <w:rPr>
          <w:sz w:val="24"/>
          <w:szCs w:val="24"/>
        </w:rPr>
      </w:pPr>
      <w:r w:rsidRPr="00A70DB4">
        <w:rPr>
          <w:sz w:val="24"/>
          <w:szCs w:val="24"/>
        </w:rPr>
        <w:t>Given the possibilities afforded by New Technologies licensing and spectrum requirements may cause services, licenses and/or resources listed for another sector to be applicable. In such a case the applicable fees are to be distilled from the rate sheet for the additional sector as well.</w:t>
      </w:r>
    </w:p>
    <w:p w:rsidR="00A70DB4" w:rsidRPr="00A70DB4" w:rsidRDefault="00A70DB4" w:rsidP="00A70DB4">
      <w:pPr>
        <w:jc w:val="both"/>
        <w:rPr>
          <w:sz w:val="24"/>
          <w:szCs w:val="24"/>
        </w:rPr>
      </w:pPr>
    </w:p>
    <w:p w:rsidR="00A70DB4" w:rsidRPr="00A70DB4" w:rsidRDefault="00A70DB4" w:rsidP="00A70DB4">
      <w:pPr>
        <w:jc w:val="both"/>
        <w:rPr>
          <w:sz w:val="24"/>
          <w:szCs w:val="24"/>
        </w:rPr>
      </w:pPr>
      <w:r w:rsidRPr="00A70DB4">
        <w:rPr>
          <w:sz w:val="24"/>
          <w:szCs w:val="24"/>
        </w:rPr>
        <w:t>Assistance in utilizing the rate sheets can be sought at the BTPSXM.</w:t>
      </w:r>
    </w:p>
    <w:p w:rsidR="00A70DB4" w:rsidRPr="00A70DB4" w:rsidRDefault="00A70DB4" w:rsidP="00A70DB4">
      <w:pPr>
        <w:jc w:val="both"/>
        <w:rPr>
          <w:sz w:val="24"/>
          <w:szCs w:val="24"/>
        </w:rPr>
      </w:pPr>
    </w:p>
    <w:p w:rsidR="00A70DB4" w:rsidRPr="00A70DB4" w:rsidRDefault="00A70DB4" w:rsidP="00A70DB4">
      <w:pPr>
        <w:jc w:val="both"/>
        <w:rPr>
          <w:sz w:val="24"/>
          <w:szCs w:val="24"/>
        </w:rPr>
      </w:pPr>
      <w:r w:rsidRPr="00A70DB4">
        <w:rPr>
          <w:sz w:val="24"/>
          <w:szCs w:val="24"/>
        </w:rPr>
        <w:t>The Attachment to the Ministerial Decree on Telecommunications Tariffs of October 29</w:t>
      </w:r>
      <w:r w:rsidRPr="00A70DB4">
        <w:rPr>
          <w:sz w:val="24"/>
          <w:szCs w:val="24"/>
          <w:vertAlign w:val="superscript"/>
        </w:rPr>
        <w:t>th</w:t>
      </w:r>
      <w:r w:rsidRPr="00A70DB4">
        <w:rPr>
          <w:sz w:val="24"/>
          <w:szCs w:val="24"/>
        </w:rPr>
        <w:t xml:space="preserve"> 2013 contains the following rate sheets:</w:t>
      </w:r>
    </w:p>
    <w:p w:rsidR="00A70DB4" w:rsidRPr="00A70DB4" w:rsidRDefault="00A70DB4" w:rsidP="00A70DB4">
      <w:pPr>
        <w:rPr>
          <w:sz w:val="24"/>
          <w:szCs w:val="24"/>
        </w:rPr>
      </w:pPr>
    </w:p>
    <w:p w:rsidR="00A70DB4" w:rsidRPr="00A70DB4" w:rsidRDefault="00A70DB4" w:rsidP="00A70DB4">
      <w:pPr>
        <w:pStyle w:val="ListParagraph"/>
        <w:numPr>
          <w:ilvl w:val="0"/>
          <w:numId w:val="2"/>
        </w:numPr>
        <w:rPr>
          <w:sz w:val="24"/>
          <w:szCs w:val="24"/>
        </w:rPr>
      </w:pPr>
      <w:r w:rsidRPr="00A70DB4">
        <w:rPr>
          <w:sz w:val="24"/>
          <w:szCs w:val="24"/>
        </w:rPr>
        <w:t>Rate sheet I: Broadcasting Sector: Radio- and TV Broadcasting</w:t>
      </w:r>
    </w:p>
    <w:p w:rsidR="00A70DB4" w:rsidRPr="00A70DB4" w:rsidRDefault="00A70DB4" w:rsidP="00A70DB4">
      <w:pPr>
        <w:pStyle w:val="ListParagraph"/>
        <w:numPr>
          <w:ilvl w:val="0"/>
          <w:numId w:val="2"/>
        </w:numPr>
        <w:rPr>
          <w:sz w:val="24"/>
          <w:szCs w:val="24"/>
        </w:rPr>
      </w:pPr>
      <w:r w:rsidRPr="00A70DB4">
        <w:rPr>
          <w:sz w:val="24"/>
          <w:szCs w:val="24"/>
        </w:rPr>
        <w:t>Rate Sheet II: Maritime Sector</w:t>
      </w:r>
    </w:p>
    <w:p w:rsidR="00A70DB4" w:rsidRPr="00A70DB4" w:rsidRDefault="00A70DB4" w:rsidP="00A70DB4">
      <w:pPr>
        <w:pStyle w:val="ListParagraph"/>
        <w:numPr>
          <w:ilvl w:val="0"/>
          <w:numId w:val="2"/>
        </w:numPr>
        <w:rPr>
          <w:sz w:val="24"/>
          <w:szCs w:val="24"/>
        </w:rPr>
      </w:pPr>
      <w:r w:rsidRPr="00A70DB4">
        <w:rPr>
          <w:sz w:val="24"/>
          <w:szCs w:val="24"/>
        </w:rPr>
        <w:t>Rate Sheet III: Aviation Sector</w:t>
      </w:r>
    </w:p>
    <w:p w:rsidR="00A70DB4" w:rsidRPr="00A70DB4" w:rsidRDefault="00A70DB4" w:rsidP="00A70DB4">
      <w:pPr>
        <w:pStyle w:val="ListParagraph"/>
        <w:numPr>
          <w:ilvl w:val="0"/>
          <w:numId w:val="2"/>
        </w:numPr>
        <w:rPr>
          <w:sz w:val="24"/>
          <w:szCs w:val="24"/>
        </w:rPr>
      </w:pPr>
      <w:r w:rsidRPr="00A70DB4">
        <w:rPr>
          <w:sz w:val="24"/>
          <w:szCs w:val="24"/>
        </w:rPr>
        <w:t>Rate Sheet IV: Mobile Radio Communications Sector</w:t>
      </w:r>
    </w:p>
    <w:p w:rsidR="00A70DB4" w:rsidRPr="00A70DB4" w:rsidRDefault="00A70DB4" w:rsidP="00A70DB4">
      <w:pPr>
        <w:pStyle w:val="ListParagraph"/>
        <w:numPr>
          <w:ilvl w:val="0"/>
          <w:numId w:val="2"/>
        </w:numPr>
        <w:rPr>
          <w:sz w:val="24"/>
          <w:szCs w:val="24"/>
        </w:rPr>
      </w:pPr>
      <w:r w:rsidRPr="00A70DB4">
        <w:rPr>
          <w:sz w:val="24"/>
          <w:szCs w:val="24"/>
        </w:rPr>
        <w:t>Rate Sheet V: Resources:</w:t>
      </w:r>
    </w:p>
    <w:p w:rsidR="00A70DB4" w:rsidRPr="00A70DB4" w:rsidRDefault="00A70DB4" w:rsidP="00A70DB4">
      <w:pPr>
        <w:pStyle w:val="ListParagraph"/>
        <w:numPr>
          <w:ilvl w:val="1"/>
          <w:numId w:val="2"/>
        </w:numPr>
        <w:rPr>
          <w:sz w:val="24"/>
          <w:szCs w:val="24"/>
        </w:rPr>
      </w:pPr>
      <w:r w:rsidRPr="00A70DB4">
        <w:rPr>
          <w:sz w:val="24"/>
          <w:szCs w:val="24"/>
        </w:rPr>
        <w:t>Numbering-, Transmission and Distribution Spectrum Rate sheet</w:t>
      </w:r>
    </w:p>
    <w:p w:rsidR="00A70DB4" w:rsidRPr="00A70DB4" w:rsidRDefault="00A70DB4" w:rsidP="00A70DB4">
      <w:pPr>
        <w:pStyle w:val="ListParagraph"/>
        <w:numPr>
          <w:ilvl w:val="0"/>
          <w:numId w:val="2"/>
        </w:numPr>
        <w:rPr>
          <w:sz w:val="24"/>
          <w:szCs w:val="24"/>
        </w:rPr>
      </w:pPr>
      <w:r w:rsidRPr="00A70DB4">
        <w:rPr>
          <w:sz w:val="24"/>
          <w:szCs w:val="24"/>
        </w:rPr>
        <w:t>Rate Sheet VI: Examination and Certifications</w:t>
      </w:r>
    </w:p>
    <w:p w:rsidR="00B83263" w:rsidRDefault="00B83263" w:rsidP="00F63764">
      <w:pPr>
        <w:pStyle w:val="NoSpacing"/>
        <w:rPr>
          <w:rFonts w:cstheme="minorHAnsi"/>
        </w:rPr>
      </w:pPr>
    </w:p>
    <w:p w:rsidR="0021193C" w:rsidRDefault="0021193C" w:rsidP="00F63764">
      <w:pPr>
        <w:pStyle w:val="NoSpacing"/>
        <w:rPr>
          <w:rFonts w:cstheme="minorHAnsi"/>
        </w:rPr>
      </w:pPr>
    </w:p>
    <w:p w:rsidR="00B85EDF" w:rsidRPr="00B85EDF" w:rsidRDefault="00B85EDF" w:rsidP="00B85EDF"/>
    <w:p w:rsidR="00B85EDF" w:rsidRPr="00B85EDF" w:rsidRDefault="00B85EDF" w:rsidP="00B85EDF"/>
    <w:p w:rsidR="005F70E4" w:rsidRPr="00B85EDF" w:rsidRDefault="00B85EDF" w:rsidP="00B85EDF">
      <w:pPr>
        <w:tabs>
          <w:tab w:val="left" w:pos="2790"/>
        </w:tabs>
      </w:pPr>
      <w:r>
        <w:tab/>
      </w:r>
    </w:p>
    <w:sectPr w:rsidR="005F70E4" w:rsidRPr="00B85EDF" w:rsidSect="003D5782">
      <w:footerReference w:type="default" r:id="rId10"/>
      <w:pgSz w:w="12240" w:h="15840" w:code="1"/>
      <w:pgMar w:top="1440" w:right="1440" w:bottom="1440" w:left="1440" w:header="288" w:footer="288" w:gutter="0"/>
      <w:paperSrc w:first="259" w:other="25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C86" w:rsidRDefault="00375C86" w:rsidP="00810FD0">
      <w:r>
        <w:separator/>
      </w:r>
    </w:p>
  </w:endnote>
  <w:endnote w:type="continuationSeparator" w:id="0">
    <w:p w:rsidR="00375C86" w:rsidRDefault="00375C86" w:rsidP="00810F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CA4" w:rsidRDefault="00BB0377" w:rsidP="00F63764">
    <w:pPr>
      <w:pStyle w:val="Footer"/>
      <w:jc w:val="center"/>
      <w:rPr>
        <w:rStyle w:val="AddressChar"/>
        <w:color w:val="808080" w:themeColor="background1" w:themeShade="80"/>
        <w:sz w:val="16"/>
        <w:szCs w:val="16"/>
      </w:rPr>
    </w:pPr>
    <w:r>
      <w:rPr>
        <w:noProof/>
        <w:color w:val="808080" w:themeColor="background1" w:themeShade="80"/>
        <w:sz w:val="16"/>
        <w:szCs w:val="16"/>
      </w:rPr>
      <w:pict>
        <v:shape id="_x0000_s4098" style="position:absolute;left:0;text-align:left;margin-left:35.25pt;margin-top:594.5pt;width:92.5pt;height:160pt;rotation:180;z-index:251658240;mso-position-horizontal-relative:page;mso-position-vertical-relative:page" coordsize="1376,3365" path="m,l1376,r,3365l1363,3134r-12,-220l1338,2706r-13,-199l1310,2320r-15,-179l1277,1973r-17,-160l1240,1663r-22,-140l1195,1389r-26,-124l1142,1149r-30,-110l1080,937r-34,-95l1008,753,967,671,924,595,877,524,826,458,772,398,714,342,653,291,587,243,517,199,443,159,364,123,280,89,192,57,98,27,,xe" fillcolor="#7f7f7f [1612]" stroked="f" strokecolor="#6bb1c9 [3206]" strokeweight="1pt">
          <v:fill opacity="55706f" color2="fill lighten(51)" angle="-45" focusposition=".5,.5" focussize="" method="linear sigma" type="gradient"/>
          <v:shadow type="perspective" color="#295d70 [1606]" offset="1pt" offset2="-3pt"/>
          <v:path arrowok="t"/>
          <w10:wrap anchorx="page" anchory="page"/>
        </v:shape>
      </w:pict>
    </w:r>
    <w:r w:rsidRPr="00BB0377">
      <w:rPr>
        <w:noProof/>
      </w:rPr>
      <w:pict>
        <v:shape id="_x0000_s4099" style="position:absolute;left:0;text-align:left;margin-left:35.25pt;margin-top:630.5pt;width:69pt;height:124pt;rotation:180;z-index:251659264;mso-position-horizontal-relative:page;mso-position-vertical-relative:page" coordsize="1376,3365" path="m,l1376,r,3365l1363,3134r-12,-220l1338,2706r-13,-199l1310,2320r-15,-179l1277,1973r-17,-160l1240,1663r-22,-140l1195,1389r-26,-124l1142,1149r-30,-110l1080,937r-34,-95l1008,753,967,671,924,595,877,524,826,458,772,398,714,342,653,291,587,243,517,199,443,159,364,123,280,89,192,57,98,27,,xe" fillcolor="#0070c0" stroked="f" strokecolor="#6bb1c9 [3206]" strokeweight="1pt">
          <v:fill opacity="55706f" color2="fill lighten(51)" angle="-45" focusposition=".5,.5" focussize="" method="linear sigma" type="gradient"/>
          <v:shadow type="perspective" color="#295d70 [1606]" offset="1pt" offset2="-3pt"/>
          <v:path arrowok="t"/>
          <w10:wrap anchorx="page" anchory="page"/>
        </v:shape>
      </w:pict>
    </w:r>
    <w:r w:rsidR="00BA5CFA">
      <w:rPr>
        <w:rStyle w:val="AddressChar"/>
        <w:color w:val="808080" w:themeColor="background1" w:themeShade="80"/>
        <w:sz w:val="16"/>
        <w:szCs w:val="16"/>
      </w:rPr>
      <w:t xml:space="preserve">                        </w:t>
    </w:r>
    <w:r w:rsidR="00894CA4">
      <w:rPr>
        <w:rStyle w:val="AddressChar"/>
        <w:color w:val="808080" w:themeColor="background1" w:themeShade="80"/>
        <w:sz w:val="16"/>
        <w:szCs w:val="16"/>
      </w:rPr>
      <w:t xml:space="preserve">                             </w:t>
    </w:r>
    <w:r w:rsidR="00BA5CFA">
      <w:rPr>
        <w:rStyle w:val="AddressChar"/>
        <w:color w:val="808080" w:themeColor="background1" w:themeShade="80"/>
        <w:sz w:val="16"/>
        <w:szCs w:val="16"/>
      </w:rPr>
      <w:t xml:space="preserve"> </w:t>
    </w:r>
    <w:r w:rsidR="00784404">
      <w:rPr>
        <w:rStyle w:val="AddressChar"/>
        <w:color w:val="808080" w:themeColor="background1" w:themeShade="80"/>
        <w:sz w:val="16"/>
        <w:szCs w:val="16"/>
      </w:rPr>
      <w:t>Cannegieter Street # 15</w:t>
    </w:r>
    <w:r w:rsidR="00BA5CFA" w:rsidRPr="00B85EDF">
      <w:rPr>
        <w:rStyle w:val="AddressChar"/>
        <w:color w:val="808080" w:themeColor="background1" w:themeShade="80"/>
        <w:sz w:val="16"/>
        <w:szCs w:val="16"/>
      </w:rPr>
      <w:t xml:space="preserve"> </w:t>
    </w:r>
    <w:r w:rsidR="00BA5CFA">
      <w:rPr>
        <w:rStyle w:val="AddressChar"/>
        <w:color w:val="808080" w:themeColor="background1" w:themeShade="80"/>
        <w:sz w:val="16"/>
        <w:szCs w:val="16"/>
      </w:rPr>
      <w:t xml:space="preserve"> </w:t>
    </w:r>
    <w:r w:rsidR="00BA5CFA" w:rsidRPr="00B85EDF">
      <w:rPr>
        <w:rStyle w:val="AddressChar"/>
        <w:color w:val="808080" w:themeColor="background1" w:themeShade="80"/>
        <w:sz w:val="16"/>
        <w:szCs w:val="16"/>
      </w:rPr>
      <w:t>I</w:t>
    </w:r>
    <w:r w:rsidR="00BA5CFA">
      <w:rPr>
        <w:rStyle w:val="AddressChar"/>
        <w:color w:val="808080" w:themeColor="background1" w:themeShade="80"/>
        <w:sz w:val="16"/>
        <w:szCs w:val="16"/>
      </w:rPr>
      <w:t xml:space="preserve"> </w:t>
    </w:r>
    <w:r w:rsidR="00784404">
      <w:rPr>
        <w:rStyle w:val="AddressChar"/>
        <w:color w:val="808080" w:themeColor="background1" w:themeShade="80"/>
        <w:sz w:val="16"/>
        <w:szCs w:val="16"/>
      </w:rPr>
      <w:t xml:space="preserve"> Unit 5.1</w:t>
    </w:r>
    <w:r w:rsidR="00BA5CFA">
      <w:rPr>
        <w:rStyle w:val="AddressChar"/>
        <w:color w:val="808080" w:themeColor="background1" w:themeShade="80"/>
        <w:sz w:val="16"/>
        <w:szCs w:val="16"/>
      </w:rPr>
      <w:t xml:space="preserve"> </w:t>
    </w:r>
    <w:r w:rsidR="00BA5CFA" w:rsidRPr="00B85EDF">
      <w:rPr>
        <w:rStyle w:val="AddressChar"/>
        <w:color w:val="808080" w:themeColor="background1" w:themeShade="80"/>
        <w:sz w:val="16"/>
        <w:szCs w:val="16"/>
      </w:rPr>
      <w:t xml:space="preserve"> I</w:t>
    </w:r>
    <w:r w:rsidR="00BA5CFA">
      <w:rPr>
        <w:rStyle w:val="AddressChar"/>
        <w:color w:val="808080" w:themeColor="background1" w:themeShade="80"/>
        <w:sz w:val="16"/>
        <w:szCs w:val="16"/>
      </w:rPr>
      <w:t xml:space="preserve"> </w:t>
    </w:r>
    <w:r w:rsidR="00BA5CFA" w:rsidRPr="00B85EDF">
      <w:rPr>
        <w:rStyle w:val="AddressChar"/>
        <w:color w:val="808080" w:themeColor="background1" w:themeShade="80"/>
        <w:sz w:val="16"/>
        <w:szCs w:val="16"/>
      </w:rPr>
      <w:t xml:space="preserve"> Philipsburg </w:t>
    </w:r>
    <w:r w:rsidR="00BA5CFA">
      <w:rPr>
        <w:rStyle w:val="AddressChar"/>
        <w:color w:val="808080" w:themeColor="background1" w:themeShade="80"/>
        <w:sz w:val="16"/>
        <w:szCs w:val="16"/>
      </w:rPr>
      <w:t xml:space="preserve"> </w:t>
    </w:r>
    <w:r w:rsidR="00BA5CFA" w:rsidRPr="00B85EDF">
      <w:rPr>
        <w:rStyle w:val="AddressChar"/>
        <w:color w:val="808080" w:themeColor="background1" w:themeShade="80"/>
        <w:sz w:val="16"/>
        <w:szCs w:val="16"/>
      </w:rPr>
      <w:t>I</w:t>
    </w:r>
    <w:r w:rsidR="00BA5CFA">
      <w:rPr>
        <w:rStyle w:val="AddressChar"/>
        <w:color w:val="808080" w:themeColor="background1" w:themeShade="80"/>
        <w:sz w:val="16"/>
        <w:szCs w:val="16"/>
      </w:rPr>
      <w:t xml:space="preserve"> </w:t>
    </w:r>
    <w:r w:rsidR="00BA5CFA" w:rsidRPr="00B85EDF">
      <w:rPr>
        <w:rStyle w:val="AddressChar"/>
        <w:color w:val="808080" w:themeColor="background1" w:themeShade="80"/>
        <w:sz w:val="16"/>
        <w:szCs w:val="16"/>
      </w:rPr>
      <w:t xml:space="preserve"> </w:t>
    </w:r>
    <w:r w:rsidR="005E463F">
      <w:rPr>
        <w:rStyle w:val="AddressChar"/>
        <w:color w:val="808080" w:themeColor="background1" w:themeShade="80"/>
        <w:sz w:val="16"/>
        <w:szCs w:val="16"/>
      </w:rPr>
      <w:t xml:space="preserve">St. Maarten  I  </w:t>
    </w:r>
    <w:r w:rsidR="00BA5CFA" w:rsidRPr="00B85EDF">
      <w:rPr>
        <w:rStyle w:val="AddressChar"/>
        <w:color w:val="808080" w:themeColor="background1" w:themeShade="80"/>
        <w:sz w:val="16"/>
        <w:szCs w:val="16"/>
      </w:rPr>
      <w:t xml:space="preserve">Dutch Caribbean </w:t>
    </w:r>
    <w:r w:rsidR="00BA5CFA">
      <w:rPr>
        <w:rStyle w:val="AddressChar"/>
        <w:color w:val="808080" w:themeColor="background1" w:themeShade="80"/>
        <w:sz w:val="16"/>
        <w:szCs w:val="16"/>
      </w:rPr>
      <w:t xml:space="preserve"> </w:t>
    </w:r>
    <w:r w:rsidR="00BA5CFA" w:rsidRPr="00B85EDF">
      <w:rPr>
        <w:rStyle w:val="AddressChar"/>
        <w:color w:val="808080" w:themeColor="background1" w:themeShade="80"/>
        <w:sz w:val="16"/>
        <w:szCs w:val="16"/>
      </w:rPr>
      <w:t>I</w:t>
    </w:r>
    <w:r w:rsidR="00BA5CFA">
      <w:rPr>
        <w:rStyle w:val="AddressChar"/>
        <w:color w:val="808080" w:themeColor="background1" w:themeShade="80"/>
        <w:sz w:val="16"/>
        <w:szCs w:val="16"/>
      </w:rPr>
      <w:t xml:space="preserve"> </w:t>
    </w:r>
    <w:r w:rsidR="00BA5CFA" w:rsidRPr="00B85EDF">
      <w:rPr>
        <w:rStyle w:val="AddressChar"/>
        <w:color w:val="808080" w:themeColor="background1" w:themeShade="80"/>
        <w:sz w:val="16"/>
        <w:szCs w:val="16"/>
      </w:rPr>
      <w:t xml:space="preserve"> +1(721) 542.4699 </w:t>
    </w:r>
    <w:r w:rsidR="00BA5CFA">
      <w:rPr>
        <w:rStyle w:val="AddressChar"/>
        <w:color w:val="808080" w:themeColor="background1" w:themeShade="80"/>
        <w:sz w:val="16"/>
        <w:szCs w:val="16"/>
      </w:rPr>
      <w:t xml:space="preserve"> </w:t>
    </w:r>
    <w:r w:rsidR="00BA5CFA" w:rsidRPr="00B85EDF">
      <w:rPr>
        <w:rStyle w:val="AddressChar"/>
        <w:color w:val="808080" w:themeColor="background1" w:themeShade="80"/>
        <w:sz w:val="16"/>
        <w:szCs w:val="16"/>
      </w:rPr>
      <w:t xml:space="preserve"> </w:t>
    </w:r>
    <w:r w:rsidR="00894CA4">
      <w:rPr>
        <w:rStyle w:val="AddressChar"/>
        <w:color w:val="808080" w:themeColor="background1" w:themeShade="80"/>
        <w:sz w:val="16"/>
        <w:szCs w:val="16"/>
      </w:rPr>
      <w:t xml:space="preserve">       </w:t>
    </w:r>
  </w:p>
  <w:p w:rsidR="00BA5CFA" w:rsidRPr="00894CA4" w:rsidRDefault="00894CA4" w:rsidP="00F63764">
    <w:pPr>
      <w:pStyle w:val="Footer"/>
      <w:jc w:val="center"/>
      <w:rPr>
        <w:color w:val="0070C0"/>
      </w:rPr>
    </w:pPr>
    <w:r>
      <w:rPr>
        <w:rStyle w:val="AddressChar"/>
        <w:color w:val="808080" w:themeColor="background1" w:themeShade="80"/>
        <w:sz w:val="16"/>
        <w:szCs w:val="16"/>
      </w:rPr>
      <w:t xml:space="preserve">                                            </w:t>
    </w:r>
    <w:r w:rsidRPr="00894CA4">
      <w:rPr>
        <w:rStyle w:val="AddressChar"/>
        <w:color w:val="0070C0"/>
        <w:sz w:val="16"/>
        <w:szCs w:val="16"/>
      </w:rPr>
      <w:t xml:space="preserve">info@sxmregulator.sx  I  </w:t>
    </w:r>
    <w:r w:rsidR="00BA5CFA" w:rsidRPr="00894CA4">
      <w:rPr>
        <w:rStyle w:val="AddressChar"/>
        <w:color w:val="0070C0"/>
        <w:sz w:val="16"/>
        <w:szCs w:val="16"/>
      </w:rPr>
      <w:t>www.sxmregulator.sx</w:t>
    </w:r>
  </w:p>
  <w:p w:rsidR="00BA5CFA" w:rsidRDefault="00894CA4">
    <w:pPr>
      <w:pStyle w:val="Foote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C86" w:rsidRDefault="00375C86" w:rsidP="00810FD0">
      <w:r>
        <w:separator/>
      </w:r>
    </w:p>
  </w:footnote>
  <w:footnote w:type="continuationSeparator" w:id="0">
    <w:p w:rsidR="00375C86" w:rsidRDefault="00375C86" w:rsidP="00810F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C5DFB"/>
    <w:multiLevelType w:val="hybridMultilevel"/>
    <w:tmpl w:val="E1CAA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2B70A1"/>
    <w:multiLevelType w:val="hybridMultilevel"/>
    <w:tmpl w:val="FA08B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801"/>
  <w:stylePaneSortMethod w:val="0000"/>
  <w:defaultTabStop w:val="720"/>
  <w:drawingGridHorizontalSpacing w:val="100"/>
  <w:displayHorizontalDrawingGridEvery w:val="2"/>
  <w:displayVerticalDrawingGridEvery w:val="2"/>
  <w:characterSpacingControl w:val="doNotCompress"/>
  <w:hdrShapeDefaults>
    <o:shapedefaults v:ext="edit" spidmax="11266" fill="f" fillcolor="white" stroke="f">
      <v:fill color="white" on="f"/>
      <v:stroke on="f"/>
      <v:textbox inset="0,0,0,0"/>
      <o:colormenu v:ext="edit" fillcolor="#0070c0" strokecolor="none" shadowcolor="none"/>
    </o:shapedefaults>
    <o:shapelayout v:ext="edit">
      <o:idmap v:ext="edit" data="4"/>
    </o:shapelayout>
  </w:hdrShapeDefaults>
  <w:footnotePr>
    <w:footnote w:id="-1"/>
    <w:footnote w:id="0"/>
  </w:footnotePr>
  <w:endnotePr>
    <w:endnote w:id="-1"/>
    <w:endnote w:id="0"/>
  </w:endnotePr>
  <w:compat/>
  <w:rsids>
    <w:rsidRoot w:val="000A3859"/>
    <w:rsid w:val="000739E4"/>
    <w:rsid w:val="000975A8"/>
    <w:rsid w:val="000A3859"/>
    <w:rsid w:val="000D247E"/>
    <w:rsid w:val="000F7F89"/>
    <w:rsid w:val="00123681"/>
    <w:rsid w:val="00143DBB"/>
    <w:rsid w:val="00194B1B"/>
    <w:rsid w:val="001A65DE"/>
    <w:rsid w:val="001B326D"/>
    <w:rsid w:val="001F3161"/>
    <w:rsid w:val="0021193C"/>
    <w:rsid w:val="002362B9"/>
    <w:rsid w:val="002A22E2"/>
    <w:rsid w:val="002C182B"/>
    <w:rsid w:val="003111A7"/>
    <w:rsid w:val="00345BFB"/>
    <w:rsid w:val="00356D45"/>
    <w:rsid w:val="00375C86"/>
    <w:rsid w:val="00394968"/>
    <w:rsid w:val="003B7DE5"/>
    <w:rsid w:val="003C0EF9"/>
    <w:rsid w:val="003D5782"/>
    <w:rsid w:val="0041155F"/>
    <w:rsid w:val="0047646B"/>
    <w:rsid w:val="00491486"/>
    <w:rsid w:val="004A339A"/>
    <w:rsid w:val="005A5FE1"/>
    <w:rsid w:val="005A623A"/>
    <w:rsid w:val="005E463F"/>
    <w:rsid w:val="005F70E4"/>
    <w:rsid w:val="00606D3B"/>
    <w:rsid w:val="00622841"/>
    <w:rsid w:val="006726A4"/>
    <w:rsid w:val="006A6DF8"/>
    <w:rsid w:val="006B5FC2"/>
    <w:rsid w:val="006D353C"/>
    <w:rsid w:val="006D5D42"/>
    <w:rsid w:val="00730039"/>
    <w:rsid w:val="00784404"/>
    <w:rsid w:val="0079035C"/>
    <w:rsid w:val="007C1263"/>
    <w:rsid w:val="007F3B50"/>
    <w:rsid w:val="007F5A5B"/>
    <w:rsid w:val="00810FD0"/>
    <w:rsid w:val="00864E82"/>
    <w:rsid w:val="00894CA4"/>
    <w:rsid w:val="008A28E6"/>
    <w:rsid w:val="008E2272"/>
    <w:rsid w:val="008F2825"/>
    <w:rsid w:val="008F6500"/>
    <w:rsid w:val="00904EDB"/>
    <w:rsid w:val="0093614F"/>
    <w:rsid w:val="009646BF"/>
    <w:rsid w:val="009972F1"/>
    <w:rsid w:val="009C1BA0"/>
    <w:rsid w:val="009E26F1"/>
    <w:rsid w:val="00A33E40"/>
    <w:rsid w:val="00A40998"/>
    <w:rsid w:val="00A70DB4"/>
    <w:rsid w:val="00A96A14"/>
    <w:rsid w:val="00AB004C"/>
    <w:rsid w:val="00AF1FCF"/>
    <w:rsid w:val="00AF310E"/>
    <w:rsid w:val="00B024DE"/>
    <w:rsid w:val="00B4167E"/>
    <w:rsid w:val="00B5566F"/>
    <w:rsid w:val="00B73C1F"/>
    <w:rsid w:val="00B83263"/>
    <w:rsid w:val="00B85EDF"/>
    <w:rsid w:val="00B9719A"/>
    <w:rsid w:val="00BA09E9"/>
    <w:rsid w:val="00BA5CFA"/>
    <w:rsid w:val="00BB0377"/>
    <w:rsid w:val="00BE3DFE"/>
    <w:rsid w:val="00BF1D2C"/>
    <w:rsid w:val="00C07CDA"/>
    <w:rsid w:val="00C1319A"/>
    <w:rsid w:val="00C177AA"/>
    <w:rsid w:val="00C54EA0"/>
    <w:rsid w:val="00CB1D3D"/>
    <w:rsid w:val="00D11190"/>
    <w:rsid w:val="00D43C7D"/>
    <w:rsid w:val="00D553E4"/>
    <w:rsid w:val="00D61764"/>
    <w:rsid w:val="00D63306"/>
    <w:rsid w:val="00E65CBA"/>
    <w:rsid w:val="00E86607"/>
    <w:rsid w:val="00E91C86"/>
    <w:rsid w:val="00ED1153"/>
    <w:rsid w:val="00EE7602"/>
    <w:rsid w:val="00F33BB4"/>
    <w:rsid w:val="00F63764"/>
    <w:rsid w:val="00F75AED"/>
    <w:rsid w:val="00FA5774"/>
    <w:rsid w:val="00FC0427"/>
    <w:rsid w:val="00FE67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fill="f" fillcolor="white" stroke="f">
      <v:fill color="white" on="f"/>
      <v:stroke on="f"/>
      <v:textbox inset="0,0,0,0"/>
      <o:colormenu v:ext="edit" fillcolor="#0070c0" strokecolor="none" shadowcolor="none"/>
    </o:shapedefaults>
    <o:shapelayout v:ext="edit">
      <o:idmap v:ext="edit" data="1"/>
      <o:regrouptable v:ext="edit">
        <o:entry new="1" old="0"/>
        <o:entry new="2" old="0"/>
        <o:entry new="3" old="0"/>
        <o:entry new="4" old="0"/>
        <o:entry new="5" old="0"/>
        <o:entry new="6" old="0"/>
        <o:entry new="7" old="6"/>
        <o:entry new="8" old="7"/>
        <o:entry new="9" old="7"/>
        <o:entry new="10" old="9"/>
        <o:entry new="11" old="8"/>
        <o:entry new="12" old="11"/>
        <o:entry new="13" old="10"/>
        <o:entry new="14" old="11"/>
        <o:entry new="15" old="10"/>
        <o:entry new="16" old="15"/>
        <o:entry new="17" old="8"/>
        <o:entry new="18" old="9"/>
        <o:entry new="19" old="18"/>
        <o:entry new="20" old="8"/>
        <o:entry new="21" old="20"/>
        <o:entry new="22" old="9"/>
        <o:entry new="23" old="22"/>
        <o:entry new="24" old="14"/>
        <o:entry new="25" old="17"/>
        <o:entry new="26" old="12"/>
        <o:entry new="27" old="13"/>
        <o:entry new="28" old="9"/>
        <o:entry new="29" old="28"/>
        <o:entry new="30" old="8"/>
        <o:entry new="31" old="3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AF1FCF"/>
    <w:rPr>
      <w:rFonts w:asciiTheme="minorHAnsi" w:hAnsiTheme="minorHAnsi"/>
      <w:color w:val="212120"/>
      <w:kern w:val="28"/>
    </w:rPr>
  </w:style>
  <w:style w:type="paragraph" w:styleId="Heading1">
    <w:name w:val="heading 1"/>
    <w:basedOn w:val="Normal"/>
    <w:next w:val="Normal"/>
    <w:link w:val="Heading1Char"/>
    <w:rsid w:val="008F6500"/>
    <w:pPr>
      <w:keepNext/>
      <w:keepLines/>
      <w:spacing w:before="480"/>
      <w:outlineLvl w:val="0"/>
    </w:pPr>
    <w:rPr>
      <w:rFonts w:asciiTheme="majorHAnsi" w:eastAsiaTheme="majorEastAsia" w:hAnsiTheme="majorHAnsi" w:cstheme="majorBidi"/>
      <w:b/>
      <w:bCs/>
      <w:color w:val="AE9638" w:themeColor="accent1" w:themeShade="BF"/>
      <w:sz w:val="28"/>
      <w:szCs w:val="28"/>
    </w:rPr>
  </w:style>
  <w:style w:type="paragraph" w:styleId="Heading2">
    <w:name w:val="heading 2"/>
    <w:basedOn w:val="Normal"/>
    <w:next w:val="Normal"/>
    <w:link w:val="Heading2Char"/>
    <w:semiHidden/>
    <w:unhideWhenUsed/>
    <w:qFormat/>
    <w:rsid w:val="008F6500"/>
    <w:pPr>
      <w:keepNext/>
      <w:keepLines/>
      <w:spacing w:before="200"/>
      <w:outlineLvl w:val="1"/>
    </w:pPr>
    <w:rPr>
      <w:rFonts w:asciiTheme="majorHAnsi" w:eastAsiaTheme="majorEastAsia" w:hAnsiTheme="majorHAnsi" w:cstheme="majorBidi"/>
      <w:b/>
      <w:bCs/>
      <w:color w:val="CEB966"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8F6500"/>
    <w:rPr>
      <w:rFonts w:asciiTheme="majorHAnsi" w:eastAsiaTheme="majorEastAsia" w:hAnsiTheme="majorHAnsi" w:cstheme="majorBidi"/>
      <w:b/>
      <w:bCs/>
      <w:color w:val="CEB966" w:themeColor="accent1"/>
      <w:kern w:val="28"/>
      <w:sz w:val="26"/>
      <w:szCs w:val="26"/>
    </w:rPr>
  </w:style>
  <w:style w:type="character" w:customStyle="1" w:styleId="Heading1Char">
    <w:name w:val="Heading 1 Char"/>
    <w:basedOn w:val="DefaultParagraphFont"/>
    <w:link w:val="Heading1"/>
    <w:rsid w:val="008F6500"/>
    <w:rPr>
      <w:rFonts w:asciiTheme="majorHAnsi" w:eastAsiaTheme="majorEastAsia" w:hAnsiTheme="majorHAnsi" w:cstheme="majorBidi"/>
      <w:b/>
      <w:bCs/>
      <w:color w:val="AE9638" w:themeColor="accent1" w:themeShade="BF"/>
      <w:kern w:val="28"/>
      <w:sz w:val="28"/>
      <w:szCs w:val="28"/>
    </w:rPr>
  </w:style>
  <w:style w:type="paragraph" w:styleId="BalloonText">
    <w:name w:val="Balloon Text"/>
    <w:basedOn w:val="Normal"/>
    <w:link w:val="BalloonTextChar"/>
    <w:rsid w:val="00730039"/>
    <w:rPr>
      <w:rFonts w:ascii="Tahoma" w:hAnsi="Tahoma" w:cs="Tahoma"/>
      <w:sz w:val="16"/>
      <w:szCs w:val="16"/>
    </w:rPr>
  </w:style>
  <w:style w:type="character" w:customStyle="1" w:styleId="BalloonTextChar">
    <w:name w:val="Balloon Text Char"/>
    <w:basedOn w:val="DefaultParagraphFont"/>
    <w:link w:val="BalloonText"/>
    <w:rsid w:val="00730039"/>
    <w:rPr>
      <w:rFonts w:ascii="Tahoma" w:hAnsi="Tahoma" w:cs="Tahoma"/>
      <w:color w:val="212120"/>
      <w:kern w:val="28"/>
      <w:sz w:val="16"/>
      <w:szCs w:val="16"/>
    </w:rPr>
  </w:style>
  <w:style w:type="paragraph" w:customStyle="1" w:styleId="CompanyName">
    <w:name w:val="Company_Name"/>
    <w:link w:val="CompanyNameChar"/>
    <w:qFormat/>
    <w:rsid w:val="00C177AA"/>
    <w:rPr>
      <w:rFonts w:asciiTheme="majorHAnsi" w:eastAsiaTheme="majorEastAsia" w:hAnsiTheme="majorHAnsi" w:cstheme="majorBidi"/>
      <w:bCs/>
      <w:color w:val="000000" w:themeColor="text1"/>
      <w:kern w:val="28"/>
      <w:sz w:val="24"/>
      <w:szCs w:val="28"/>
    </w:rPr>
  </w:style>
  <w:style w:type="character" w:styleId="PlaceholderText">
    <w:name w:val="Placeholder Text"/>
    <w:basedOn w:val="DefaultParagraphFont"/>
    <w:uiPriority w:val="99"/>
    <w:semiHidden/>
    <w:rsid w:val="007C1263"/>
    <w:rPr>
      <w:color w:val="808080"/>
    </w:rPr>
  </w:style>
  <w:style w:type="character" w:customStyle="1" w:styleId="CompanyNameChar">
    <w:name w:val="Company_Name Char"/>
    <w:basedOn w:val="DefaultParagraphFont"/>
    <w:link w:val="CompanyName"/>
    <w:rsid w:val="00C177AA"/>
    <w:rPr>
      <w:rFonts w:asciiTheme="majorHAnsi" w:eastAsiaTheme="majorEastAsia" w:hAnsiTheme="majorHAnsi" w:cstheme="majorBidi"/>
      <w:bCs/>
      <w:color w:val="000000" w:themeColor="text1"/>
      <w:kern w:val="28"/>
      <w:sz w:val="24"/>
      <w:szCs w:val="28"/>
    </w:rPr>
  </w:style>
  <w:style w:type="paragraph" w:customStyle="1" w:styleId="Email">
    <w:name w:val="Email"/>
    <w:link w:val="EmailChar"/>
    <w:qFormat/>
    <w:rsid w:val="00AB004C"/>
    <w:rPr>
      <w:rFonts w:asciiTheme="minorHAnsi" w:eastAsiaTheme="majorEastAsia" w:hAnsiTheme="minorHAnsi" w:cstheme="majorBidi"/>
      <w:bCs/>
      <w:color w:val="000000" w:themeColor="text1"/>
      <w:kern w:val="28"/>
      <w:sz w:val="14"/>
      <w:szCs w:val="28"/>
    </w:rPr>
  </w:style>
  <w:style w:type="paragraph" w:customStyle="1" w:styleId="Address">
    <w:name w:val="Address"/>
    <w:link w:val="AddressChar"/>
    <w:qFormat/>
    <w:rsid w:val="00D43C7D"/>
    <w:pPr>
      <w:jc w:val="center"/>
    </w:pPr>
    <w:rPr>
      <w:rFonts w:asciiTheme="minorHAnsi" w:hAnsiTheme="minorHAnsi"/>
      <w:color w:val="0D0D0D" w:themeColor="text1" w:themeTint="F2"/>
      <w:kern w:val="28"/>
    </w:rPr>
  </w:style>
  <w:style w:type="character" w:customStyle="1" w:styleId="EmailChar">
    <w:name w:val="Email Char"/>
    <w:basedOn w:val="DefaultParagraphFont"/>
    <w:link w:val="Email"/>
    <w:rsid w:val="00AB004C"/>
    <w:rPr>
      <w:rFonts w:asciiTheme="minorHAnsi" w:eastAsiaTheme="majorEastAsia" w:hAnsiTheme="minorHAnsi" w:cstheme="majorBidi"/>
      <w:bCs/>
      <w:color w:val="000000" w:themeColor="text1"/>
      <w:kern w:val="28"/>
      <w:sz w:val="14"/>
      <w:szCs w:val="28"/>
    </w:rPr>
  </w:style>
  <w:style w:type="character" w:customStyle="1" w:styleId="AddressChar">
    <w:name w:val="Address Char"/>
    <w:basedOn w:val="DefaultParagraphFont"/>
    <w:link w:val="Address"/>
    <w:rsid w:val="00D43C7D"/>
    <w:rPr>
      <w:rFonts w:asciiTheme="minorHAnsi" w:hAnsiTheme="minorHAnsi"/>
      <w:color w:val="0D0D0D" w:themeColor="text1" w:themeTint="F2"/>
      <w:kern w:val="28"/>
    </w:rPr>
  </w:style>
  <w:style w:type="paragraph" w:styleId="Header">
    <w:name w:val="header"/>
    <w:basedOn w:val="Normal"/>
    <w:link w:val="HeaderChar"/>
    <w:rsid w:val="00810FD0"/>
    <w:pPr>
      <w:tabs>
        <w:tab w:val="center" w:pos="4680"/>
        <w:tab w:val="right" w:pos="9360"/>
      </w:tabs>
    </w:pPr>
  </w:style>
  <w:style w:type="character" w:customStyle="1" w:styleId="HeaderChar">
    <w:name w:val="Header Char"/>
    <w:basedOn w:val="DefaultParagraphFont"/>
    <w:link w:val="Header"/>
    <w:rsid w:val="00810FD0"/>
    <w:rPr>
      <w:rFonts w:asciiTheme="minorHAnsi" w:hAnsiTheme="minorHAnsi"/>
      <w:color w:val="212120"/>
      <w:kern w:val="28"/>
    </w:rPr>
  </w:style>
  <w:style w:type="paragraph" w:styleId="Footer">
    <w:name w:val="footer"/>
    <w:basedOn w:val="Normal"/>
    <w:link w:val="FooterChar"/>
    <w:uiPriority w:val="99"/>
    <w:rsid w:val="00810FD0"/>
    <w:pPr>
      <w:tabs>
        <w:tab w:val="center" w:pos="4680"/>
        <w:tab w:val="right" w:pos="9360"/>
      </w:tabs>
    </w:pPr>
  </w:style>
  <w:style w:type="character" w:customStyle="1" w:styleId="FooterChar">
    <w:name w:val="Footer Char"/>
    <w:basedOn w:val="DefaultParagraphFont"/>
    <w:link w:val="Footer"/>
    <w:uiPriority w:val="99"/>
    <w:rsid w:val="00810FD0"/>
    <w:rPr>
      <w:rFonts w:asciiTheme="minorHAnsi" w:hAnsiTheme="minorHAnsi"/>
      <w:color w:val="212120"/>
      <w:kern w:val="28"/>
    </w:rPr>
  </w:style>
  <w:style w:type="paragraph" w:customStyle="1" w:styleId="ecxmsonormal">
    <w:name w:val="ecxmsonormal"/>
    <w:basedOn w:val="Normal"/>
    <w:rsid w:val="00F63764"/>
    <w:pPr>
      <w:spacing w:before="100" w:beforeAutospacing="1" w:after="100" w:afterAutospacing="1"/>
    </w:pPr>
    <w:rPr>
      <w:rFonts w:ascii="Times New Roman" w:hAnsi="Times New Roman"/>
      <w:color w:val="auto"/>
      <w:kern w:val="0"/>
      <w:sz w:val="24"/>
      <w:szCs w:val="24"/>
    </w:rPr>
  </w:style>
  <w:style w:type="paragraph" w:styleId="NoSpacing">
    <w:name w:val="No Spacing"/>
    <w:uiPriority w:val="1"/>
    <w:qFormat/>
    <w:rsid w:val="00F63764"/>
    <w:rPr>
      <w:rFonts w:asciiTheme="minorHAnsi" w:eastAsiaTheme="minorHAnsi" w:hAnsiTheme="minorHAnsi" w:cstheme="minorBidi"/>
      <w:sz w:val="22"/>
      <w:szCs w:val="22"/>
    </w:rPr>
  </w:style>
  <w:style w:type="character" w:styleId="Hyperlink">
    <w:name w:val="Hyperlink"/>
    <w:basedOn w:val="DefaultParagraphFont"/>
    <w:uiPriority w:val="99"/>
    <w:unhideWhenUsed/>
    <w:rsid w:val="00F63764"/>
    <w:rPr>
      <w:color w:val="410082" w:themeColor="hyperlink"/>
      <w:u w:val="single"/>
    </w:rPr>
  </w:style>
  <w:style w:type="paragraph" w:styleId="ListParagraph">
    <w:name w:val="List Paragraph"/>
    <w:basedOn w:val="Normal"/>
    <w:uiPriority w:val="34"/>
    <w:rsid w:val="00A70DB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n\AppData\Local\Microsoft\Windows\Temporary%20Internet%20Files\Content.Outlook\RKWEWAK2\BTP-Letterhead%20New.dotx" TargetMode="External"/></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Business_sta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9E89A-D4E9-4D11-A2DE-AB1603089A84}">
  <ds:schemaRefs>
    <ds:schemaRef ds:uri="http://schemas.microsoft.com/sharepoint/v3/contenttype/forms"/>
  </ds:schemaRefs>
</ds:datastoreItem>
</file>

<file path=customXml/itemProps2.xml><?xml version="1.0" encoding="utf-8"?>
<ds:datastoreItem xmlns:ds="http://schemas.openxmlformats.org/officeDocument/2006/customXml" ds:itemID="{BC27F458-2BC8-4920-A1CE-AC8E82E09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BTP-Letterhead New</Template>
  <TotalTime>0</TotalTime>
  <Pages>1</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2</cp:revision>
  <cp:lastPrinted>2013-11-07T20:30:00Z</cp:lastPrinted>
  <dcterms:created xsi:type="dcterms:W3CDTF">2013-11-12T13:27:00Z</dcterms:created>
  <dcterms:modified xsi:type="dcterms:W3CDTF">2013-11-12T13:27:00Z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TC102580021033</vt:lpwstr>
  </property>
</Properties>
</file>